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/>
        <w:drawing>
          <wp:inline distT="0" distB="0" distL="114935" distR="114935">
            <wp:extent cx="1951990" cy="105727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STATUT OŚRODKA SZKOLENIOWEGO HAJGO SP. Z O.O.</w:t>
      </w:r>
    </w:p>
    <w:p>
      <w:pPr>
        <w:pStyle w:val="Normal"/>
        <w:ind w:left="0" w:hanging="0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  <w:r>
        <w:br w:type="page"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I. Postanowienia ogólne: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Działalność Ośrodka Szkoleniowego HAJGO jest prowadzona w ramach działalności firmy ‘’HAJGO’’ Sp. z o.o., z siedzibą w Dąbrowie Górniczej, ul. Pogoria 28.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 xml:space="preserve">§ 1 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/>
        </w:rPr>
      </w:pP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Misją Ośrodka jest zrównoważony rozwój w branży szkoleniowej, zapewniający stały i długofalowy wzrost wartości organizacji oraz wspieranie rozwoju klienta biznesowego i indywidualnego.</w:t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/>
        </w:rPr>
      </w:pP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Naszą wizją jest dążenie do oferowania najwyższej jakości szkoleń prowadzonych przez profesjonalną kadrę, wykorzystując innowacyjne metody nauczania.</w:t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/>
        </w:rPr>
      </w:pP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Celem strategicznym jest zwiększanie</w:t>
      </w:r>
      <w:r>
        <w:rPr>
          <w:rFonts w:ascii="Calibri" w:hAnsi="Calibri" w:cs="Calibri" w:eastAsia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　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wartości przedsiębiorstwa poprzez optymalne wykorzystanie zasobów intelektualnych, materialnych i organizacyjnych w zakresie działalności szkoleniowej oraz</w:t>
      </w:r>
      <w:r>
        <w:rPr>
          <w:rFonts w:ascii="Calibri" w:hAnsi="Calibri" w:cs="Calibri" w:eastAsia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　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i w:val="false"/>
          <w:iCs w:val="false"/>
          <w:color w:val="auto"/>
          <w:sz w:val="24"/>
          <w:szCs w:val="24"/>
          <w:lang w:val="pl-PL"/>
        </w:rPr>
        <w:t>świadczonych usług.</w:t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color w:val="auto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color w:val="auto"/>
          <w:sz w:val="24"/>
          <w:szCs w:val="24"/>
        </w:rPr>
        <w:t>Celem edukacyjnym Ośrodka jest szkolenie kadry kierowniczej, pracowników instytucji i organizacji oraz osób indywidualnych, podnoszenie ich kwalifikacji oraz szkolenie osób rozpoczynających swoją edukację w ramach proponowanych przez nas zagadnień tematycznych.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2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Zakres merytoryczny proponowanych przez Ośrodek szkoleń obejmuje tematykę z zakresów: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Finansów i księgowości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Informatyki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Nowych technologii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Zarządzania personelem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Rozwoju osobistego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Zdrowia publicznego i medycyny</w:t>
      </w:r>
    </w:p>
    <w:p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Inne</w:t>
      </w: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3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Założycielem Ośrodka Szkoleniowego jest firma ‘’HAJGO’’ Sp. z o.o. w Dąbrowie Górniczej.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4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Ośrodkiem Szkoleniowym kieruje Dyrektor Ośrodka Szkoleniowego.</w:t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  <w:r>
        <w:br w:type="page"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II. Organy i struktura Ośrodka.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5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Organem Zarządzającym Ośrodka jest Dyrektor Ośrodka Szkoleniowego.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6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Dyrektora Ośrodka Szkoleniowego powołuje i odwołuje Zarząd Spółki ‘’HAJGO’’ w Dąbrowie Górniczej. 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7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Do obowiązków Dyrektora Ośrodka Szkoleniowego należy: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zapewnienie, stosownie do zakresu proponowanych szkoleń, odpowiednich programów dydaktycznych,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stworzenie i zapewnienie dobrych warunków do prowadzenia szkoleń, tj. wyposażenie sali, zapewnienie materiałów szkoleniowych,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prowadzenie wymaganej dokumentacji szkoleniowej,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sprawowanie bezpośredniego nadzoru nad organizowanymi szkoleniami,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współdziałanie z Radą Programową sprawującą wewnętrzny nadzór pedagogiczny,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przeprowadzanie kalkulacji kosztów organizowanych szkoleń,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ustalanie wynagrodzeń dla wykładowców,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profesjonalny dobór wykładowców,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współdziałanie z działem administracyjnym i finansowym HAJGO,</w:t>
      </w:r>
    </w:p>
    <w:p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reprezentowanie Ośrodka Szkoleniowego HAJGO na zewnątrz.</w:t>
      </w:r>
    </w:p>
    <w:p>
      <w:pPr>
        <w:pStyle w:val="Normal"/>
        <w:ind w:left="360" w:hanging="0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8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Prawa przysługujące Dyrektorowi Ośrodka Szkoleniowego: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 przypadku, gdy słuchacz nie uiści opłaty kursowej do dnia określonego dokumentach zgłoszeniowych/umowach, może zostać skreślony z listy osób uczestniczących w danym szkoleniu,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na bezpośrednią prośbę słuchaczy Dyrektor Ośrodka Szkoleniowego ma prawo zmienić wykładowcę , jeżeli ten nie wypełnia sumiennie swoich dydaktycznych obowiązków,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ma prawo podejmowania decyzji w zakresie zmniejszania lub zwiększania liczby uczestników szkolenia, stosownie do postanowień &amp; 15 lub w innych przypadkach, jeżeli wymagać tego będzie dobro organizowanego szkolenia.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zatrudniania wykładowców o właściwych kwalifikacjach, stosownie do prowadzonych szkoleń.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9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Zakres obowiązków działu administracyjnego HAJGO: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reklama szkoleń i promocja działalności Ośrodka,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bieżąca organizacja szkoleń, w tym przyjmowanie zapisów na poszczególne szkolenia,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utrzymywanie kontaktów ze słuchaczami Ośrodka,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przyjmowanie wszelkich uwag i wniosków dotyczących organizowanego szkolenia,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670" w:leader="none"/>
        </w:tabs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wystawianie słuchaczom zaświadczeń o ukończeniu szkolenia.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10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numPr>
          <w:ilvl w:val="0"/>
          <w:numId w:val="6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Organem opiniotwórczo – doradczym jest Rada Programowa Ośrodka Szkoleniowego ‘’HAJGO’’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Radę Programową Ośrodka powołuje i odwołuje Zarząd Spółki ‘’HAJGO’’ 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Kadencja Rady trwa 3 lata.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Rada Programowa ze swego składu powołuje Przewodniczącego Rady, który przewodniczy obradom i organizuje jej pracę.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Posiedzenia Rady Programowej zwołuje Przewodniczący w okresach 3miesięcznych.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Obsługę kancelaryjną Rady sprawuje Dyrektor Ośrodka Szkoleniowego.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11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numPr>
          <w:ilvl w:val="0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Do zadań Rady Programowej należy: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Określanie kierunków działania i rozwoju Ośrodka 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Współtworzenie i zatwierdzanie planu marketingowego dla Ośrodka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Zatwierdzanie programów szkoleń, publikacji i wydawnictw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Czuwanie nad profesjonalnym doborem wykładowców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Zatwierdzanie sprawozdań z działalności Ośrodka za dany rok </w:t>
      </w:r>
    </w:p>
    <w:p>
      <w:pPr>
        <w:pStyle w:val="Tretekstu"/>
        <w:numPr>
          <w:ilvl w:val="1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Wizytacja szkoleń</w:t>
      </w:r>
    </w:p>
    <w:p>
      <w:pPr>
        <w:pStyle w:val="Tretekstu"/>
        <w:numPr>
          <w:ilvl w:val="0"/>
          <w:numId w:val="5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Rada Programowa w swoich opiniach jest niezależna od Dyrektora Ośrodka Szkoleniowego.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12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Zarząd ‘’HAJGO’’ może podjąć decyzje o wypłacie wynagrodzenia Członkom Rady Programowej za udział w posiedzeniach Rady w wysokości:</w:t>
      </w:r>
    </w:p>
    <w:p>
      <w:pPr>
        <w:pStyle w:val="Tretekstu"/>
        <w:numPr>
          <w:ilvl w:val="0"/>
          <w:numId w:val="12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Przewodniczący </w:t>
      </w:r>
      <w:r>
        <w:rPr/>
        <w:tab/>
      </w: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– 40% najniższego wynagrodzenia</w:t>
      </w:r>
    </w:p>
    <w:p>
      <w:pPr>
        <w:pStyle w:val="Tretekstu"/>
        <w:numPr>
          <w:ilvl w:val="0"/>
          <w:numId w:val="12"/>
        </w:numPr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Pozostali członkowie </w:t>
      </w:r>
      <w:r>
        <w:rPr/>
        <w:tab/>
      </w: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- 20% najniższego wynagrodzenia</w:t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oraz zwrot kosztów dojazdu.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</w:rPr>
      </w:pPr>
      <w:r>
        <w:rPr>
          <w:rFonts w:eastAsia="Calibri" w:cs="Calibri" w:cstheme="minorAscii" w:eastAsiaTheme="minorAscii" w:ascii="Calibri" w:hAnsi="Calibri"/>
        </w:rPr>
      </w:r>
      <w:r>
        <w:br w:type="page"/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III. Organizacja działalności: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13</w:t>
      </w:r>
    </w:p>
    <w:p>
      <w:pPr>
        <w:pStyle w:val="Tretekstu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Słuchaczami szkoleń organizowanych przez Ośrodek HAJGO mogą być osoby indywidualne, pracownicy instytucji i organizacji, pragnące rozpocząć edukację, przekwalifikować się lub podnieść posiadane kwalifikacje.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14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Wymogi jakim muszą odpowiadać uczestnicy poszczególnych szkoleń określane są w kartach szkoleń: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w przypadku szkoleń specjalistycznych, zaawansowanych - uczestnicy powinni przedstawić dokumenty potwierdzające posiadane wykształcenie i umiejętności, jeżeli ich posiadanie stanowi wymóg normatywny, określony w programach kształcenia danego kursu/szkolenia,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w przypadku szkoleń podstawowych - uczestnicy powinni przedstawić dokumenty potwierdzające ukończenie przynajmniej szkoły podstawowej, jeżeli stanowi to wymóg określony obowiązującymi przepisami,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kandydat powinien być osobą zdyscyplinowaną, dążącą do zdobycia wiedzy i osiągnięcia sukcesu poprzez czynne uczestnictwo w szkoleniu oraz realizowanie i przestrzeganie ustalonego programu szkolenia.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15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Liczba osób w grupie szkoleniowej nie może przekraczać 25 osób. W przypadkach szczególnych, uzasadnionych programem szkolenia, gdy wykładowca stwierdzi, że możliwe jest, aby liczba uczestników była większa od maksymalnej organizowane będą szkolenie w grupach większych niż 25 osób. Standardową ilość uczestników szkolenia określa się na </w:t>
      </w: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nie więcej niż </w:t>
      </w: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12 osób.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16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Formą szkoleniową mogą być: kursy, szkolenia, sympozja, seminaria, konferencje, itp.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17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Zakres materiału szkoleniowego, liczba godzin zajęć, sposób badania efektywności szkoleń zostaną określone w poszczególnych programach tematycznych – kartach szkolenia.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  <w:r>
        <w:br w:type="page"/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IV. Prawa i obowiązki pracowników Ośrodka Szkoleniowego HAJGO.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18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Pracownicy Ośrodka mają prawo do: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pracy w należytych warunkach,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zgłaszania uwag i propozycji dotyczących organizowanych szkoleń,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korzystania z pomocy ‘’HAJGO’’ Sp. z o.o.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zgłaszania propozycji dotyczących  programów planowanych szkoleń,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nowi pracownicy Ośrodka mają prawo do wdrożenia się do pracy na zasadach mentoringu,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 xml:space="preserve">mentor nowozatrudnionego pracownika ma prawo uczestniczyć w zajęciach prowadzonych przez pracownika na zasadzie obserwatora.  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19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Pracownicy Ośrodka mają obowiązek: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stałego dbania o efektywność oraz utrzymanie wysokiego poziomu merytorycznego  działań szkoleniowych podejmowanych przez Ośrodek,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podejmowanie kroków mających na celu promocję oraz utrzymanie dobrego wizerunku Ośrodka,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punktualności,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rzetelnego i profesjonalnego przygotowywania się do każdych zajęć.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numPr>
          <w:ilvl w:val="0"/>
          <w:numId w:val="11"/>
        </w:numPr>
        <w:rPr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Regulamin przeprowadzania szkoleń: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20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bidi w:val="0"/>
        <w:spacing w:lineRule="auto" w:line="259" w:beforeAutospacing="0" w:before="0" w:afterAutospacing="0" w:after="0"/>
        <w:ind w:left="72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Regulamin szkoleń określa:</w:t>
      </w:r>
    </w:p>
    <w:p>
      <w:pPr>
        <w:pStyle w:val="ListParagraph"/>
        <w:numPr>
          <w:ilvl w:val="1"/>
          <w:numId w:val="2"/>
        </w:numPr>
        <w:bidi w:val="0"/>
        <w:spacing w:lineRule="auto" w:line="259" w:beforeAutospacing="0" w:before="0" w:afterAutospacing="0" w:after="0"/>
        <w:ind w:left="144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Prawa i obowiązki słuchaczy</w:t>
      </w:r>
    </w:p>
    <w:p>
      <w:pPr>
        <w:pStyle w:val="ListParagraph"/>
        <w:numPr>
          <w:ilvl w:val="1"/>
          <w:numId w:val="2"/>
        </w:numPr>
        <w:bidi w:val="0"/>
        <w:spacing w:lineRule="auto" w:line="259" w:beforeAutospacing="0" w:before="0" w:afterAutospacing="0" w:after="0"/>
        <w:ind w:left="144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Zasady rekrutacji na szkolenia.</w:t>
      </w:r>
    </w:p>
    <w:p>
      <w:pPr>
        <w:pStyle w:val="ListParagraph"/>
        <w:numPr>
          <w:ilvl w:val="1"/>
          <w:numId w:val="2"/>
        </w:numPr>
        <w:bidi w:val="0"/>
        <w:spacing w:lineRule="auto" w:line="259" w:beforeAutospacing="0" w:before="0" w:afterAutospacing="0" w:after="0"/>
        <w:ind w:left="144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Zasady rezygnacji z udziału</w:t>
      </w:r>
    </w:p>
    <w:p>
      <w:pPr>
        <w:pStyle w:val="ListParagraph"/>
        <w:numPr>
          <w:ilvl w:val="1"/>
          <w:numId w:val="2"/>
        </w:numPr>
        <w:bidi w:val="0"/>
        <w:spacing w:lineRule="auto" w:line="259" w:beforeAutospacing="0" w:before="0" w:afterAutospacing="0" w:after="0"/>
        <w:ind w:left="144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Procedurę reklamacji</w:t>
      </w:r>
    </w:p>
    <w:p>
      <w:pPr>
        <w:pStyle w:val="ListParagraph"/>
        <w:numPr>
          <w:ilvl w:val="0"/>
          <w:numId w:val="2"/>
        </w:numPr>
        <w:bidi w:val="0"/>
        <w:spacing w:lineRule="auto" w:line="259" w:beforeAutospacing="0" w:before="0" w:afterAutospacing="0" w:after="0"/>
        <w:ind w:left="720" w:right="0" w:hanging="360"/>
        <w:contextualSpacing/>
        <w:jc w:val="both"/>
        <w:rPr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Regulamin szkoleń stanowi załącznik do Statutu</w:t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  <w:r>
        <w:br w:type="page"/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VI. Finansowanie działalności Ośrodka HAJGO.</w:t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21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Środki finansowe na prowadzenie działalności Ośrodka będą pochodziły z wpłat wnoszonych przez uczestników organizowanych szkoleń, konkursów i projektów unijnych a także z funduszy własnych ‘’HAJGO’’ Sp. z o.o. w Sosnowcu.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ind w:left="0" w:hanging="0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VII. Postanowienia końcowe.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sz w:val="24"/>
          <w:szCs w:val="24"/>
        </w:rPr>
        <w:t>§ 22</w:t>
      </w:r>
    </w:p>
    <w:p>
      <w:pPr>
        <w:pStyle w:val="Normal"/>
        <w:jc w:val="center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b/>
          <w:bCs/>
          <w:sz w:val="24"/>
          <w:szCs w:val="24"/>
        </w:rPr>
      </w:r>
    </w:p>
    <w:p>
      <w:pPr>
        <w:pStyle w:val="Tretekstu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ascii="Calibri" w:hAnsi="Calibri" w:asciiTheme="minorAscii" w:cstheme="minorAscii" w:eastAsiaTheme="minorAscii" w:hAnsiTheme="minorAscii"/>
          <w:sz w:val="24"/>
          <w:szCs w:val="24"/>
        </w:rPr>
        <w:t>Statut obowiązuje od dnia 18.09.2019 roku.</w:t>
      </w:r>
    </w:p>
    <w:p>
      <w:pPr>
        <w:pStyle w:val="Normal"/>
        <w:jc w:val="both"/>
        <w:rPr>
          <w:rFonts w:ascii="Calibri" w:hAnsi="Calibri" w:eastAsia="Calibri" w:cs="Calibri" w:asciiTheme="minorAscii" w:cstheme="minorAscii" w:eastAsiaTheme="minorAscii" w:hAnsiTheme="minorAscii"/>
          <w:sz w:val="24"/>
          <w:szCs w:val="24"/>
        </w:rPr>
      </w:pPr>
      <w:r>
        <w:rPr>
          <w:rFonts w:eastAsia="Calibri" w:cs="Calibri" w:cstheme="minorAscii" w:eastAsiaTheme="minorAsci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andardowy"/>
      <w:tblW w:w="940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35"/>
      <w:gridCol w:w="3135"/>
      <w:gridCol w:w="3135"/>
    </w:tblGrid>
    <w:tr>
      <w:trPr/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jc w:val="center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/>
            <w:t xml:space="preserve"> </w:t>
          </w:r>
          <w:r>
            <w:rPr/>
            <w:t xml:space="preserve">z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Stopka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andardowy"/>
      <w:tblW w:w="940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35"/>
      <w:gridCol w:w="3135"/>
      <w:gridCol w:w="3135"/>
    </w:tblGrid>
    <w:tr>
      <w:trPr/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jc w:val="center"/>
            <w:rPr/>
          </w:pPr>
          <w:r>
            <w:rPr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andardowy"/>
      <w:tblW w:w="949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34"/>
      <w:gridCol w:w="6360"/>
    </w:tblGrid>
    <w:tr>
      <w:trPr/>
      <w:tc>
        <w:tcPr>
          <w:tcW w:w="3134" w:type="dxa"/>
          <w:tcBorders/>
          <w:shd w:fill="auto" w:val="clear"/>
        </w:tcPr>
        <w:p>
          <w:pPr>
            <w:pStyle w:val="Gwka"/>
            <w:bidi w:val="0"/>
            <w:ind w:left="-115" w:hanging="0"/>
            <w:jc w:val="left"/>
            <w:rPr/>
          </w:pPr>
          <w:r>
            <w:rPr/>
            <w:drawing>
              <wp:inline distT="0" distB="0" distL="114935" distR="114935">
                <wp:extent cx="866775" cy="257175"/>
                <wp:effectExtent l="0" t="0" r="0" b="0"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0" w:type="dxa"/>
          <w:tcBorders/>
          <w:shd w:fill="auto" w:val="clear"/>
          <w:vAlign w:val="center"/>
        </w:tcPr>
        <w:p>
          <w:pPr>
            <w:pStyle w:val="Gwka"/>
            <w:bidi w:val="0"/>
            <w:ind w:right="-115" w:hanging="0"/>
            <w:jc w:val="center"/>
            <w:rPr/>
          </w:pPr>
          <w:r>
            <w:rPr/>
            <w:t>Statut Ośrodka Szkoleniowego Hajgo sp. z o.o.</w:t>
          </w:r>
        </w:p>
      </w:tc>
    </w:tr>
  </w:tbl>
  <w:p>
    <w:pPr>
      <w:pStyle w:val="Gwka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andardowy"/>
      <w:tblW w:w="940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35"/>
      <w:gridCol w:w="3135"/>
      <w:gridCol w:w="3135"/>
    </w:tblGrid>
    <w:tr>
      <w:trPr/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jc w:val="center"/>
            <w:rPr/>
          </w:pPr>
          <w:r>
            <w:rPr/>
          </w:r>
        </w:p>
      </w:tc>
      <w:tc>
        <w:tcPr>
          <w:tcW w:w="3135" w:type="dxa"/>
          <w:tcBorders/>
          <w:shd w:fill="auto" w:val="clear"/>
        </w:tcPr>
        <w:p>
          <w:pPr>
            <w:pStyle w:val="Gwka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Gw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5"/>
      <w:numFmt w:val="upperRoman"/>
      <w:lvlText w:val="%1. "/>
      <w:lvlJc w:val="left"/>
      <w:pPr>
        <w:ind w:left="283" w:hanging="283"/>
      </w:pPr>
      <w:rPr>
        <w:sz w:val="24"/>
        <w:i w:val="false"/>
        <w:u w:val="non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ja-JP" w:bidi="ar-SA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LibreOffice/6.3.1.2$Windows_X86_64 LibreOffice_project/b79626edf0065ac373bd1df5c28bd630b4424273</Application>
  <Pages>7</Pages>
  <Words>997</Words>
  <Characters>6843</Characters>
  <CharactersWithSpaces>7679</CharactersWithSpaces>
  <Paragraphs>120</Paragraphs>
  <Company>GDF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2019-09-19T09:31:22Z</dcterms:created>
  <dc:creator>Robert Haberko</dc:creator>
  <dc:description/>
  <dc:language>pl-PL</dc:language>
  <cp:lastModifiedBy/>
  <cp:lastPrinted>2005-12-21T15:19:00Z</cp:lastPrinted>
  <dcterms:modified xsi:type="dcterms:W3CDTF">2019-09-20T11:08:16Z</dcterms:modified>
  <cp:revision>15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GDF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